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213"/>
        <w:gridCol w:w="267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80C49" w:rsidRPr="001169CC" w:rsidTr="00C80C49">
        <w:trPr>
          <w:trHeight w:val="558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UČNI NAČRT PREDMETA / COURSE SYLLABUS</w:t>
            </w:r>
          </w:p>
        </w:tc>
      </w:tr>
      <w:tr w:rsidR="00C80C49" w:rsidRPr="001169CC" w:rsidTr="001B6AF0">
        <w:tc>
          <w:tcPr>
            <w:tcW w:w="1799" w:type="dxa"/>
            <w:gridSpan w:val="3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Metodika dela z otroci in mladostniki z vedenjskimi in čustvenimi motnjami v izvendružinski vzgoji</w:t>
            </w:r>
          </w:p>
        </w:tc>
      </w:tr>
      <w:tr w:rsidR="00C80C49" w:rsidRPr="001169CC" w:rsidTr="001B6AF0">
        <w:tc>
          <w:tcPr>
            <w:tcW w:w="1799" w:type="dxa"/>
            <w:gridSpan w:val="3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 of working with children and adolescents with behaviour and emotional disorders in extrafamilial education</w:t>
            </w:r>
          </w:p>
        </w:tc>
      </w:tr>
      <w:tr w:rsidR="00C80C49" w:rsidRPr="001169CC" w:rsidTr="001B6AF0">
        <w:tc>
          <w:tcPr>
            <w:tcW w:w="3307" w:type="dxa"/>
            <w:gridSpan w:val="5"/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80C49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Pedagogy, 1st cycle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:rsidTr="001B6AF0">
        <w:trPr>
          <w:trHeight w:val="103"/>
        </w:trPr>
        <w:tc>
          <w:tcPr>
            <w:tcW w:w="9690" w:type="dxa"/>
            <w:gridSpan w:val="18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C80C49" w:rsidRPr="001169CC" w:rsidTr="001B6AF0">
        <w:tc>
          <w:tcPr>
            <w:tcW w:w="5718" w:type="dxa"/>
            <w:gridSpan w:val="12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9690" w:type="dxa"/>
            <w:gridSpan w:val="18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C80C49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15</w:t>
            </w:r>
            <w:r w:rsidR="00297BC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C80C49" w:rsidRPr="001169CC" w:rsidTr="001B6AF0">
        <w:tc>
          <w:tcPr>
            <w:tcW w:w="9690" w:type="dxa"/>
            <w:gridSpan w:val="18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3307" w:type="dxa"/>
            <w:gridSpan w:val="5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Prof. dr. Mitja Krajnčan </w:t>
            </w:r>
          </w:p>
        </w:tc>
      </w:tr>
      <w:tr w:rsidR="00C80C49" w:rsidRPr="001169CC" w:rsidTr="001B6AF0">
        <w:tc>
          <w:tcPr>
            <w:tcW w:w="9690" w:type="dxa"/>
            <w:gridSpan w:val="18"/>
          </w:tcPr>
          <w:p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1641" w:type="dxa"/>
            <w:gridSpan w:val="2"/>
            <w:vMerge w:val="restart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810" w:type="dxa"/>
            <w:gridSpan w:val="5"/>
          </w:tcPr>
          <w:p w:rsidR="00C80C49" w:rsidRPr="001169CC" w:rsidRDefault="00C80C49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C80C49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810" w:type="dxa"/>
            <w:gridSpan w:val="5"/>
          </w:tcPr>
          <w:p w:rsidR="00C80C49" w:rsidRPr="001169CC" w:rsidRDefault="00C80C49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 / Slovenian</w:t>
            </w:r>
          </w:p>
        </w:tc>
      </w:tr>
      <w:tr w:rsidR="00C80C49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C80C49" w:rsidRPr="001169CC" w:rsidTr="001B6AF0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C80C49" w:rsidRPr="001169CC" w:rsidTr="001B6AF0">
        <w:trPr>
          <w:trHeight w:val="17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Dopolnilne metode socialno pedagoškega dela (sociometrija,  biblioterapija, lutke, projektivne tehnike, doživljajska pedagogika, projektno delo - ulično delo, sos telefon…).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Socialne kompetence (procesni modeli vedenj v socialnih situacijah, pogoji za kompetentno vedenje, etiologija težav.)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Metode evalvacij, metaanaliza.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Dodatne in dopolnilne oblike socialno-pedagoškega dela (vrtci, zapori, specifične ciljne skupine).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Pomoč družini.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Complementary methods of social- pedagogic work (sociometry, bibliotherapy, puppets, projective techniques, experiential pedagogy, project work - street work, SOS telephone, etc.).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competences (process models of behaviour in social situations, conditions for competent behaviour, aetiology of problems.)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Evaluation methods, meta-analysis.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Additional and complementary forms of social-pedagogic work (preschools, prisons, specific target groups).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Assistance to family.</w:t>
            </w:r>
          </w:p>
        </w:tc>
      </w:tr>
    </w:tbl>
    <w:p w:rsidR="00C80C49" w:rsidRPr="001169CC" w:rsidRDefault="00C80C49" w:rsidP="00C80C49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80C49" w:rsidRPr="001169CC" w:rsidTr="001B6AF0">
        <w:tc>
          <w:tcPr>
            <w:tcW w:w="9690" w:type="dxa"/>
            <w:gridSpan w:val="6"/>
          </w:tcPr>
          <w:p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C80C49" w:rsidRPr="001169CC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Osnovna literatura/Basic reading:</w:t>
            </w:r>
          </w:p>
          <w:p w:rsidR="00C80C49" w:rsidRPr="001169CC" w:rsidRDefault="00C80C49" w:rsidP="00C80C49">
            <w:pPr>
              <w:numPr>
                <w:ilvl w:val="0"/>
                <w:numId w:val="7"/>
              </w:numPr>
              <w:shd w:val="clear" w:color="auto" w:fill="FFFFFF"/>
              <w:spacing w:after="100" w:afterAutospacing="1"/>
              <w:outlineLvl w:val="0"/>
              <w:rPr>
                <w:rFonts w:ascii="Calibri Light" w:eastAsia="Times New Roman" w:hAnsi="Calibri Light" w:cs="Calibri Light"/>
                <w:bCs/>
                <w:color w:val="111111"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  <w:t xml:space="preserve">Davis, M., Culotta, V., Levine, E., in Hess Rice, E. (2000). </w:t>
            </w:r>
            <w:r w:rsidRPr="001169CC">
              <w:rPr>
                <w:rFonts w:ascii="Calibri Light" w:eastAsia="Times New Roman" w:hAnsi="Calibri Light" w:cs="Calibri Light"/>
                <w:bCs/>
                <w:color w:val="111111"/>
                <w:kern w:val="36"/>
                <w:sz w:val="22"/>
                <w:szCs w:val="22"/>
              </w:rPr>
              <w:t>School Success for Kids With Emotional and Behavioral Disorders. Waco: Prufrock Press.</w:t>
            </w:r>
          </w:p>
          <w:p w:rsidR="00C80C49" w:rsidRPr="001169CC" w:rsidRDefault="00C80C49" w:rsidP="00C80C49">
            <w:pPr>
              <w:numPr>
                <w:ilvl w:val="0"/>
                <w:numId w:val="7"/>
              </w:numPr>
              <w:shd w:val="clear" w:color="auto" w:fill="FFFFFF"/>
              <w:spacing w:after="100" w:afterAutospacing="1"/>
              <w:outlineLvl w:val="0"/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  <w:t>Kiehn E. (1997). Socialnopedagoška oskrba otrok in mladostnikov v stanovanjskih skupinah. Ljubljana.</w:t>
            </w:r>
          </w:p>
          <w:p w:rsidR="00C80C49" w:rsidRPr="001169CC" w:rsidRDefault="00C80C49" w:rsidP="00C80C49">
            <w:pPr>
              <w:numPr>
                <w:ilvl w:val="0"/>
                <w:numId w:val="7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Kobolt, A. (2010). Izstopajoče vedenje in pedagoški odzivi. (A. Kobolt, Ured.)  Ljubljana: Pedagoška fakulteta Univerze v Ljubljani.</w:t>
            </w:r>
          </w:p>
          <w:p w:rsidR="00C80C49" w:rsidRPr="001169CC" w:rsidRDefault="00C80C49" w:rsidP="00C80C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Krajnčan, M. (2006). Na pragu novega doma: oddaja otrok v vzgojne zavode. Pedagoška fakulteta, Ljubljana.</w:t>
            </w:r>
          </w:p>
          <w:p w:rsidR="00C80C49" w:rsidRPr="001169CC" w:rsidRDefault="00C80C49" w:rsidP="00C80C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Žorž, B. (2002). Razvajenost, rak sodoben družbe. Mohorjeva družba: Celje.</w:t>
            </w:r>
          </w:p>
          <w:p w:rsidR="00C80C49" w:rsidRPr="001169CC" w:rsidRDefault="00C80C49" w:rsidP="001B6AF0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eznam literature se vsako študijsko leto aktualizira in dopolnjuje. / The list of readings will be updated and amended for each study year.</w:t>
            </w:r>
          </w:p>
        </w:tc>
      </w:tr>
      <w:tr w:rsidR="00C80C49" w:rsidRPr="001169CC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80C49" w:rsidRPr="001169CC" w:rsidTr="001B6AF0">
        <w:trPr>
          <w:trHeight w:val="96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socialno pedagoških diskurzov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strokovnega dela, usmerjenega  v življenjsko polje uporabnika; sposobnost delati v obstoječih socialnih pogojih 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Zavedanje in refleksija lastnih prispevkov  v delu z ljudmi; motiviranost za supervizijske oblike dela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Empatičnost in komunikacijska odprtost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procesov skupinske dinamike in sposobnost dela s skupinami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institucionalnega delovanja, vpliva institucij na uporabnike, ozaveščanje lastne institucionalne vpetost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Usposobljenost za izvajanje strokovnega dela, usmerjenega  v življenjsko polje uporabnika;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veščin dela v skupini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Zmožnost empatičnosti v skupinskem in timskem delu ter komunikacijska odprtost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veščin v institucionalnem delovanju, razumevanja in vedenja pod vplivi institucij na uporabnike, ozaveščanje lastne institucionalne vpetost.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Sposobnost razumevanja pomoči usmerjene na potrebe otroka.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fleksibilnih oblik pomoči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refleksivnosti v svojem strokovnem delovanju.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social-pedagogic discourses.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professional work oriented into client’s life field; ability to work under existing social conditions.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Awareness and reflection of own contributions in working with people; motivation for supervisory forms of work.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Empathy and communication openness,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processes of group dynamics and the ability to work with groups.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institutional functioning, the influence of institutions on users, raising awareness of own institutional involvement.</w:t>
            </w:r>
          </w:p>
          <w:p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the performance of professional work oriented into client’s life field.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skills of group work.</w:t>
            </w:r>
          </w:p>
          <w:p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of empathy in group and team work and communication openness.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skills in institutional functioning, understanding and behaviour under the influence of institutions on users, raising awareness of own institutional involvement.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understand assistance oriented into children’s needs.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flexible forms of assistance.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reflect one’s professional work.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C80C49" w:rsidRPr="001169CC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C80C49" w:rsidRPr="001169CC" w:rsidTr="001B6AF0">
        <w:trPr>
          <w:trHeight w:val="424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 in razume metode dela z vedenjsko in čustveno motenimi otroci in mladostniki v izvendružinski vzgoji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 različne oblike izvendružinske vzgoje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  socialno pedagoške diskurze, pomembne za metodiko dela in razumevanje diferenciranih oblik pomoči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preverja svoja znanja v praksi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baza za uspešno razumevanje in izvajanje vzgojno-izobraževalnega dela, specialno-socialno pedagoških metodik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Sodelovanje in delo s starši, družinami in drugimi pomembnimi uporabnikovimi socialnimi skupinami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priprava, vodenje in evalvacija projektov socialnega vključevanja</w:t>
            </w:r>
            <w:r w:rsidRPr="001169CC">
              <w:rPr>
                <w:rFonts w:ascii="Calibri Light" w:eastAsia="MS Mincho" w:hAnsi="Calibri Light" w:cs="Calibri Light"/>
                <w:sz w:val="22"/>
                <w:szCs w:val="22"/>
              </w:rPr>
              <w:t>         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se usposablja in pozna različne možnosti socialno pedagoškega dela</w:t>
            </w:r>
          </w:p>
          <w:p w:rsidR="00C80C49" w:rsidRPr="001169CC" w:rsidRDefault="00C80C49" w:rsidP="001B6AF0">
            <w:pPr>
              <w:ind w:left="709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uporablja metode socialno pedagoškega dela.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uporablja dopolnilne metode socialno pedagoškega dela.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fleksibilne oblike pomoči.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reflektira in kritično ovrednoti različne (lastne in opazovane) pedagoške in socialno pedagoške izkušnje; 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proaktivno in kritično spremlja in reflektira aktualno dogajanje v vzgojno izobraževalni ustanovi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the methods of work with behavioural and emotionally disturbed children and adolescents in extrafamilial education;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various forms of extrafamilial education;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social-pedagogic discourses important for the methodology of work and understanding differentiated forms of assistance;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test their knowledge in practice;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acquire a basis for a successful understanding and implementation of educational work, special social-pedagogic methods;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 skills for cooperation and work with parents, families and other social groups important to the client;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trained in the preparation, leadership, and evaluation of social inclusion projects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trained and know the various possibilities of social-pedagogic work.</w:t>
            </w:r>
          </w:p>
          <w:p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methods of social-pedagogic work;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complementary methods of social-pedagogic work;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flexible forms of assistance.</w:t>
            </w:r>
          </w:p>
          <w:p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various (own and observed) pedagogic and social-pedagogic experiences;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proactively and critically monitor and reflect current events in the educational institution;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test their knowledge in practice.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C80C49" w:rsidRPr="001169CC" w:rsidTr="001B6AF0">
        <w:trPr>
          <w:trHeight w:val="1417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5"/>
              </w:numPr>
              <w:ind w:left="709" w:hanging="284"/>
              <w:rPr>
                <w:rFonts w:ascii="Calibri Light" w:hAnsi="Calibri Light" w:cs="Calibri Light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C80C49" w:rsidRPr="001169CC" w:rsidTr="001B6AF0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predavanja z aktivno udeležbo študentov (razlaga, diskusija, vprašanja, primeri, reševanje problemov,  ekskurzija)</w:t>
            </w:r>
          </w:p>
          <w:p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seminarske vaje, v vsebinski povezavi s pedagoško prakso (refleksija učnih   </w:t>
            </w:r>
          </w:p>
          <w:p w:rsidR="00C80C49" w:rsidRPr="001169CC" w:rsidRDefault="00C80C49" w:rsidP="001B6AF0">
            <w:pPr>
              <w:ind w:left="709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izkušenj s pedagoške prostovoljne prakse, vaj, projektno delo, timsko delo, metode kritičnega  mišljenja, diskusija, sporočanje povratne informacije, socialne igre);</w:t>
            </w:r>
          </w:p>
          <w:p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lastRenderedPageBreak/>
              <w:t>individualne in skupinske konsultacije (diskusija, razlaga);</w:t>
            </w:r>
          </w:p>
          <w:p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oblikovanje portfolija in samostojen študij (samoopazovanje, samouravnavanje,   </w:t>
            </w:r>
          </w:p>
          <w:p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refleksija, samoocenjevanje, strategije samouravnavanega učenja).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(explanation, discussion, questions, cases, problem solving, excursion).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in content related to pedagogical practice (reflection of learning</w:t>
            </w:r>
          </w:p>
          <w:p w:rsidR="00C80C49" w:rsidRPr="001169CC" w:rsidRDefault="00C80C49" w:rsidP="001B6AF0">
            <w:pPr>
              <w:ind w:left="709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experience with pedagogical volunteer practice, exercises, project work, teamwork, methods of critical thinking, discussions, feedback, social games);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individual and group consultations (discussion, explanation);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portfolio design and independent study (self-observation, self-regulation, reflection, self-assessment, strategies of self-regulated learning).</w:t>
            </w:r>
          </w:p>
        </w:tc>
      </w:tr>
      <w:tr w:rsidR="00C80C49" w:rsidRPr="001169CC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C80C49" w:rsidRPr="001169CC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="00C80C49" w:rsidRPr="001169CC" w:rsidRDefault="00C80C49" w:rsidP="001B6AF0">
            <w:pPr>
              <w:ind w:left="709" w:hanging="397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- pisni izpit  </w:t>
            </w:r>
          </w:p>
          <w:p w:rsidR="00C80C49" w:rsidRPr="001169CC" w:rsidRDefault="00C80C49" w:rsidP="001B6AF0">
            <w:pPr>
              <w:ind w:left="709" w:hanging="397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- ustni razgovor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60 %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="00C80C49" w:rsidRPr="001169CC" w:rsidRDefault="00C80C49" w:rsidP="001B6AF0">
            <w:pPr>
              <w:ind w:left="657" w:hanging="39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- Written exam</w:t>
            </w:r>
          </w:p>
          <w:p w:rsidR="00C80C49" w:rsidRPr="001169CC" w:rsidRDefault="00C80C49" w:rsidP="001B6AF0">
            <w:pPr>
              <w:ind w:left="657" w:hanging="39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- Oral discussion</w:t>
            </w:r>
          </w:p>
        </w:tc>
      </w:tr>
      <w:tr w:rsidR="00C80C49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C80C49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Mitja. Behavioural and emotional disorders of children and adolescents in Slovenian juvenile educational institutions. Socialna pedagogika, ISSN 1408-2942, jun. 2009, letn. 13, št. 2, str. 147-174. 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Mitja, RAPUŠ-PAVEL, Jana. Covert forms of aggressive behaviour among girls. Interdyscyplinarne Konteksty Pedagogiki Specalnej, ISSN 2300-391X, 2013, letn. 1, št. 2, str. [189]-209,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MRŽEK, Tina, KRAJNČAN, Mitja. Mladinska stanovanja - pogled nanje skozi oči mladostnikov in vzgojiteljev. Socialna pedagogika, ISSN 1408-2942, okt. 2010, letn. 14, št. 3, str. 303-326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Mitja, GRUM, Barbara. Priprava za samostojnost mladostnikov v vzgojnih zavodih iz perspektive vzgojiteljev. Socialno delo, ISSN 0352-7956, okt. 2013, letn. 52, št. 5, str. 307-320, 347, 349.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BAJŽELJ, Boštjan, KRAJNČAN, Mitja. Decision making: how involved should children and adolescents in institutional treatment be in the process?. Journal of International Scientific Publication : Educational Alternatives, ISSN 1314-7277, 2014, vol. 12, str. 352-356. </w:t>
            </w:r>
            <w:hyperlink r:id="rId5" w:history="1">
              <w:r w:rsidRPr="001169CC">
                <w:rPr>
                  <w:rFonts w:ascii="Calibri Light" w:eastAsia="Times New Roman" w:hAnsi="Calibri Light" w:cs="Calibri Light"/>
                  <w:sz w:val="22"/>
                  <w:szCs w:val="22"/>
                  <w:lang w:eastAsia="en-US"/>
                </w:rPr>
                <w:t>http://www.scientific-publications.net/get/1000008/1409887237564750.pdf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Mitja, BAJŽELJ, Boštjan. Institutional work in total institutions and the perspective of the persons that have lived in residential treatment institutions. V: ZAMFIR, Catalin (ur.), ECIRLI, Ahmet (ur.), STANESCU, Iulian (ur.). Conference proceedings. Istanbul: Süleyman Şah University, 2015, str. 583-590. </w:t>
            </w:r>
            <w:hyperlink r:id="rId6" w:history="1">
              <w:r w:rsidRPr="001169CC">
                <w:rPr>
                  <w:rFonts w:ascii="Calibri Light" w:eastAsia="Times New Roman" w:hAnsi="Calibri Light" w:cs="Calibri Light"/>
                  <w:sz w:val="22"/>
                  <w:szCs w:val="22"/>
                  <w:lang w:eastAsia="en-US"/>
                </w:rPr>
                <w:t>http://icss6.euser.org/Archive/6th_ICSS_2015_Proceedings_Book_Vol_3_ISBN_9788890916335.pdf</w:t>
              </w:r>
            </w:hyperlink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Mitja. Sistemska ureditev diferenciacije in individualizacije v vzgoji in izobraževanju. V: BOROTA, Bogdana (ur.), et al. Social cohesion in education. Horlivka: Horlivka State Pedagogical Institute for Foreign Languages, 2011, str. 243-251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 (avtor, fotograf), MIKLAVŽIN, Primož (avtor, fotograf). Zdravje mladostnikov s čustvenimi in vedenjskimi težavami. Ljubljana: Ministrstvo za zdravje, 2010.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9293E"/>
    <w:multiLevelType w:val="hybridMultilevel"/>
    <w:tmpl w:val="DAD6035C"/>
    <w:lvl w:ilvl="0" w:tplc="16C03146">
      <w:numFmt w:val="bullet"/>
      <w:lvlText w:val="•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26070B"/>
    <w:multiLevelType w:val="hybridMultilevel"/>
    <w:tmpl w:val="CDAE0E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90757"/>
    <w:multiLevelType w:val="hybridMultilevel"/>
    <w:tmpl w:val="6ED2D378"/>
    <w:lvl w:ilvl="0" w:tplc="16C03146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22DC2"/>
    <w:multiLevelType w:val="hybridMultilevel"/>
    <w:tmpl w:val="43A0B8A0"/>
    <w:lvl w:ilvl="0" w:tplc="16C03146">
      <w:numFmt w:val="bullet"/>
      <w:lvlText w:val="•"/>
      <w:lvlJc w:val="left"/>
      <w:pPr>
        <w:ind w:left="142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BE6C14"/>
    <w:multiLevelType w:val="hybridMultilevel"/>
    <w:tmpl w:val="FE0CDA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841B7"/>
    <w:multiLevelType w:val="hybridMultilevel"/>
    <w:tmpl w:val="BBEE45D4"/>
    <w:lvl w:ilvl="0" w:tplc="16C03146">
      <w:numFmt w:val="bullet"/>
      <w:lvlText w:val="•"/>
      <w:lvlJc w:val="left"/>
      <w:pPr>
        <w:ind w:left="142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B70F09"/>
    <w:multiLevelType w:val="hybridMultilevel"/>
    <w:tmpl w:val="146AAD5A"/>
    <w:lvl w:ilvl="0" w:tplc="16C03146">
      <w:numFmt w:val="bullet"/>
      <w:lvlText w:val="•"/>
      <w:lvlJc w:val="left"/>
      <w:pPr>
        <w:ind w:left="142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6C77E1"/>
    <w:multiLevelType w:val="hybridMultilevel"/>
    <w:tmpl w:val="91AE22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474FD0"/>
    <w:multiLevelType w:val="hybridMultilevel"/>
    <w:tmpl w:val="42483D90"/>
    <w:lvl w:ilvl="0" w:tplc="D21C071E">
      <w:start w:val="2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C49"/>
    <w:rsid w:val="0005244A"/>
    <w:rsid w:val="000A3FF5"/>
    <w:rsid w:val="00101D40"/>
    <w:rsid w:val="00115671"/>
    <w:rsid w:val="001E1204"/>
    <w:rsid w:val="00206060"/>
    <w:rsid w:val="00235D36"/>
    <w:rsid w:val="00297BCE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C20D1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80C49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2194"/>
  <w15:chartTrackingRefBased/>
  <w15:docId w15:val="{DD7A3BF7-724D-4421-B9EC-C7EC6841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80C4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css6.euser.org/Archive/6th_ICSS_2015_Proceedings_Book_Vol_3_ISBN_9788890916335.pdf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scientific-publications.net/get/1000008/1409887237564750.pdf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4A7DCD9-32FD-4F1C-A84C-AFD2A56C1793}"/>
</file>

<file path=customXml/itemProps2.xml><?xml version="1.0" encoding="utf-8"?>
<ds:datastoreItem xmlns:ds="http://schemas.openxmlformats.org/officeDocument/2006/customXml" ds:itemID="{FCE3F603-6B93-4C8A-A292-EF37AA920449}"/>
</file>

<file path=customXml/itemProps3.xml><?xml version="1.0" encoding="utf-8"?>
<ds:datastoreItem xmlns:ds="http://schemas.openxmlformats.org/officeDocument/2006/customXml" ds:itemID="{76A40533-E0D7-45E3-B32F-DFC25B9190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2023-11-14T13:54:00Z</dcterms:created>
  <dcterms:modified xsi:type="dcterms:W3CDTF">2023-11-14T13:55:00Z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16444600</vt:r8>
  </property>
</Properties>
</file>